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44C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  <w:i w:val="1"/>
          <w:sz w:val="28"/>
        </w:rPr>
      </w:pPr>
    </w:p>
    <w:p>
      <w:pPr>
        <w:pStyle w:val="P1"/>
        <w:widowControl w:val="0"/>
        <w:spacing w:after="0"/>
        <w:rPr>
          <w:b w:val="1"/>
          <w:i w:val="1"/>
          <w:sz w:val="28"/>
        </w:rPr>
      </w:pPr>
    </w:p>
    <w:p>
      <w:pPr>
        <w:pStyle w:val="P1"/>
        <w:widowControl w:val="0"/>
        <w:spacing w:after="0"/>
        <w:rPr>
          <w:sz w:val="28"/>
        </w:rPr>
      </w:pPr>
      <w:r>
        <w:rPr>
          <w:rStyle w:val="C3"/>
          <w:b w:val="1"/>
          <w:i w:val="1"/>
          <w:sz w:val="28"/>
        </w:rPr>
        <w:t xml:space="preserve">5ТОП       </w:t>
      </w:r>
      <w:r>
        <w:rPr>
          <w:rStyle w:val="C3"/>
          <w:sz w:val="28"/>
        </w:rPr>
        <w:t>16.02.2022г</w:t>
      </w:r>
      <w:r>
        <w:rPr>
          <w:rStyle w:val="C3"/>
          <w:sz w:val="28"/>
        </w:rPr>
        <w:t>.</w:t>
      </w:r>
      <w:r>
        <w:rPr>
          <w:rStyle w:val="C3"/>
          <w:sz w:val="28"/>
        </w:rPr>
        <w:t xml:space="preserve">     Химия   Грешнякова О.Ф.</w:t>
      </w:r>
    </w:p>
    <w:p>
      <w:pPr>
        <w:pStyle w:val="P1"/>
        <w:widowControl w:val="0"/>
        <w:shd w:val="clear" w:fill="FFFFFF"/>
        <w:spacing w:lineRule="atLeast" w:line="294" w:after="0"/>
        <w:rPr>
          <w:sz w:val="28"/>
        </w:rPr>
      </w:pPr>
      <w:r>
        <w:rPr>
          <w:rStyle w:val="C3"/>
          <w:sz w:val="28"/>
        </w:rPr>
        <w:t>Изучить тему, законспектировать</w:t>
      </w:r>
    </w:p>
    <w:p>
      <w:pPr>
        <w:pStyle w:val="P2"/>
        <w:shd w:val="clear" w:fill="FFFFFF"/>
        <w:spacing w:before="0" w:after="150"/>
        <w:rPr>
          <w:color w:val="333333"/>
        </w:rPr>
      </w:pPr>
    </w:p>
    <w:p>
      <w:pPr>
        <w:pStyle w:val="P1"/>
        <w:widowControl w:val="0"/>
        <w:spacing w:after="0"/>
        <w:rPr>
          <w:b w:val="1"/>
          <w:color w:val="000000"/>
          <w:sz w:val="22"/>
        </w:rPr>
      </w:pPr>
      <w:r>
        <w:rPr>
          <w:rStyle w:val="C4"/>
        </w:rPr>
        <w:t>Тема 3.1. Растворы</w:t>
      </w:r>
    </w:p>
    <w:p>
      <w:pPr>
        <w:pStyle w:val="P1"/>
        <w:widowControl w:val="0"/>
        <w:spacing w:after="0"/>
        <w:rPr>
          <w:color w:val="660099"/>
          <w:sz w:val="28"/>
        </w:rPr>
      </w:pPr>
      <w:r>
        <w:rPr>
          <w:rStyle w:val="C5"/>
          <w:sz w:val="28"/>
        </w:rPr>
        <w:t xml:space="preserve">Тема  «Общие представления о растворах.</w:t>
      </w:r>
      <w:r>
        <w:rPr>
          <w:rStyle w:val="C3"/>
          <w:sz w:val="28"/>
        </w:rPr>
        <w:t xml:space="preserve"> Смеси. Природа растворения. Способы выражения состава раствора, Массовая доля растворенного вещества.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"https://in-chemistry.ru/konvert-pirsona-ili-pravilo-kresta" </w:instrText>
      </w:r>
      <w:r>
        <w:rPr>
          <w:rStyle w:val="C3"/>
          <w:sz w:val="28"/>
        </w:rPr>
        <w:fldChar w:fldCharType="separate"/>
      </w:r>
      <w:r>
        <w:rPr>
          <w:rStyle w:val="C6"/>
          <w:color w:val="auto"/>
          <w:sz w:val="28"/>
          <w:shd w:val="clear" w:fill="FFFFFF"/>
        </w:rPr>
        <w:t>Конверт Пирсона или правило "креста"»</w:t>
      </w:r>
      <w:r>
        <w:rPr>
          <w:rStyle w:val="C3"/>
          <w:sz w:val="28"/>
        </w:rPr>
        <w:fldChar w:fldCharType="end"/>
      </w:r>
    </w:p>
    <w:p>
      <w:pPr>
        <w:pStyle w:val="P2"/>
        <w:shd w:val="clear" w:fill="FFFFFF"/>
        <w:spacing w:before="0" w:after="150"/>
        <w:rPr>
          <w:color w:val="333333"/>
        </w:rPr>
      </w:pPr>
    </w:p>
    <w:p>
      <w:pPr>
        <w:pStyle w:val="P2"/>
        <w:shd w:val="clear" w:fill="FFFFFF"/>
        <w:spacing w:before="0" w:after="150"/>
        <w:rPr>
          <w:color w:val="333333"/>
        </w:rPr>
      </w:pPr>
    </w:p>
    <w:p>
      <w:pPr>
        <w:pStyle w:val="P2"/>
        <w:shd w:val="clear" w:fill="FFFFFF"/>
        <w:spacing w:before="0" w:after="150"/>
        <w:rPr>
          <w:color w:val="333333"/>
        </w:rPr>
      </w:pPr>
    </w:p>
    <w:p>
      <w:pPr>
        <w:pStyle w:val="P1"/>
        <w:widowControl w:val="0"/>
        <w:spacing w:after="0"/>
        <w:rPr>
          <w:sz w:val="28"/>
        </w:rPr>
      </w:pPr>
    </w:p>
    <w:p>
      <w:pPr>
        <w:pStyle w:val="P1"/>
        <w:widowControl w:val="0"/>
        <w:spacing w:after="0"/>
        <w:rPr>
          <w:sz w:val="28"/>
        </w:rPr>
      </w:pPr>
      <w:r>
        <w:rPr>
          <w:rStyle w:val="C3"/>
          <w:b w:val="1"/>
          <w:i w:val="1"/>
          <w:sz w:val="28"/>
        </w:rPr>
        <w:t xml:space="preserve">5ТОП       </w:t>
      </w:r>
      <w:r>
        <w:rPr>
          <w:rStyle w:val="C3"/>
          <w:sz w:val="28"/>
        </w:rPr>
        <w:t>17.02.2022</w:t>
      </w:r>
      <w:r>
        <w:rPr>
          <w:rStyle w:val="C3"/>
          <w:sz w:val="28"/>
        </w:rPr>
        <w:t>г</w:t>
      </w:r>
      <w:r>
        <w:rPr>
          <w:rStyle w:val="C3"/>
          <w:sz w:val="28"/>
        </w:rPr>
        <w:t>.</w:t>
      </w:r>
      <w:r>
        <w:rPr>
          <w:rStyle w:val="C3"/>
          <w:sz w:val="28"/>
        </w:rPr>
        <w:t xml:space="preserve">    Химия   Грешнякова О.Ф.</w:t>
      </w:r>
    </w:p>
    <w:p>
      <w:pPr>
        <w:pStyle w:val="P1"/>
        <w:widowControl w:val="0"/>
        <w:shd w:val="clear" w:fill="FFFFFF"/>
        <w:spacing w:lineRule="atLeast" w:line="294" w:after="0"/>
        <w:rPr>
          <w:sz w:val="28"/>
        </w:rPr>
      </w:pPr>
      <w:r>
        <w:rPr>
          <w:rStyle w:val="C3"/>
          <w:sz w:val="28"/>
        </w:rPr>
        <w:t>Изучить тему, законспектировать</w:t>
      </w:r>
    </w:p>
    <w:p>
      <w:pPr>
        <w:pStyle w:val="P1"/>
        <w:widowControl w:val="0"/>
        <w:spacing w:after="0"/>
        <w:rPr>
          <w:rFonts w:ascii="Calibri" w:hAnsi="Calibri"/>
          <w:sz w:val="22"/>
        </w:rPr>
      </w:pPr>
    </w:p>
    <w:p>
      <w:pPr>
        <w:pStyle w:val="P1"/>
        <w:widowControl w:val="0"/>
        <w:spacing w:after="0"/>
        <w:rPr>
          <w:sz w:val="28"/>
        </w:rPr>
      </w:pPr>
      <w:r>
        <w:rPr>
          <w:rStyle w:val="C5"/>
          <w:sz w:val="28"/>
        </w:rPr>
        <w:t xml:space="preserve">Тема  «Насыщенные и ненасыщенные растворы. Растворимость.</w:t>
      </w:r>
      <w:r>
        <w:rPr>
          <w:rStyle w:val="C3"/>
          <w:sz w:val="28"/>
        </w:rPr>
        <w:t xml:space="preserve"> Молярность, кристаллогидраты»</w:t>
      </w:r>
    </w:p>
    <w:p>
      <w:pPr>
        <w:pStyle w:val="P1"/>
        <w:widowControl w:val="0"/>
        <w:spacing w:after="0"/>
      </w:pPr>
    </w:p>
    <w:p>
      <w:pPr>
        <w:pStyle w:val="P1"/>
        <w:rPr>
          <w:rStyle w:val="C3"/>
        </w:rPr>
      </w:pPr>
    </w:p>
    <w:sectPr>
      <w:type w:val="nextPage"/>
      <w:pgSz w:w="11906" w:h="16838" w:code="9"/>
      <w:pgMar w:left="1701" w:right="850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widowControl w:val="0"/>
    </w:pPr>
    <w:rPr>
      <w:rFonts w:ascii="Times New Roman" w:hAnsi="Times New Roman"/>
      <w:sz w:val="20"/>
    </w:rPr>
  </w:style>
  <w:style w:type="paragraph" w:styleId="P2">
    <w:name w:val="Обычный (веб)"/>
    <w:basedOn w:val="P1"/>
    <w:next w:val="P2"/>
    <w:pPr>
      <w:widowControl w:val="1"/>
      <w:spacing w:before="100" w:after="100" w:beforeAutospacing="1" w:afterAutospacing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Body text (2) + Bold"/>
    <w:rPr>
      <w:rFonts w:ascii="Times New Roman" w:hAnsi="Times New Roman"/>
      <w:b w:val="1"/>
      <w:color w:val="000000"/>
      <w:sz w:val="22"/>
      <w:u w:val="none"/>
    </w:rPr>
  </w:style>
  <w:style w:type="character" w:styleId="C5">
    <w:name w:val="Body text (2)"/>
    <w:rPr>
      <w:rFonts w:ascii="Times New Roman" w:hAnsi="Times New Roman"/>
      <w:color w:val="000000"/>
      <w:sz w:val="22"/>
      <w:u w:val="none"/>
    </w:rPr>
  </w:style>
  <w:style w:type="character" w:styleId="C6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